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B70" w:rsidRPr="00167832" w:rsidRDefault="00F95B70" w:rsidP="00167832">
      <w:pPr>
        <w:spacing w:line="480" w:lineRule="auto"/>
        <w:rPr>
          <w:rFonts w:ascii="Times New Roman" w:hAnsi="Times New Roman" w:cs="Times New Roman"/>
          <w:sz w:val="24"/>
          <w:szCs w:val="24"/>
        </w:rPr>
      </w:pPr>
    </w:p>
    <w:p w:rsidR="00F95B70" w:rsidRPr="00167832" w:rsidRDefault="00F95B70" w:rsidP="00167832">
      <w:pPr>
        <w:spacing w:line="480" w:lineRule="auto"/>
        <w:rPr>
          <w:rFonts w:ascii="Times New Roman" w:hAnsi="Times New Roman" w:cs="Times New Roman"/>
          <w:sz w:val="24"/>
          <w:szCs w:val="24"/>
        </w:rPr>
      </w:pPr>
    </w:p>
    <w:p w:rsidR="00F95B70" w:rsidRPr="00167832" w:rsidRDefault="00F95B70" w:rsidP="00167832">
      <w:pPr>
        <w:spacing w:line="480" w:lineRule="auto"/>
        <w:rPr>
          <w:rFonts w:ascii="Times New Roman" w:hAnsi="Times New Roman" w:cs="Times New Roman"/>
          <w:sz w:val="24"/>
          <w:szCs w:val="24"/>
        </w:rPr>
      </w:pPr>
    </w:p>
    <w:p w:rsidR="00F95B70" w:rsidRPr="00167832" w:rsidRDefault="00F95B70" w:rsidP="00167832">
      <w:pPr>
        <w:spacing w:line="480" w:lineRule="auto"/>
        <w:rPr>
          <w:rFonts w:ascii="Times New Roman" w:hAnsi="Times New Roman" w:cs="Times New Roman"/>
          <w:sz w:val="24"/>
          <w:szCs w:val="24"/>
        </w:rPr>
      </w:pPr>
    </w:p>
    <w:p w:rsidR="00F95B70" w:rsidRPr="00167832" w:rsidRDefault="00F95B70" w:rsidP="00167832">
      <w:pPr>
        <w:spacing w:line="480" w:lineRule="auto"/>
        <w:rPr>
          <w:rFonts w:ascii="Times New Roman" w:hAnsi="Times New Roman" w:cs="Times New Roman"/>
          <w:sz w:val="24"/>
          <w:szCs w:val="24"/>
        </w:rPr>
      </w:pPr>
    </w:p>
    <w:p w:rsidR="00F95B70" w:rsidRPr="00167832" w:rsidRDefault="00F95B70" w:rsidP="00167832">
      <w:pPr>
        <w:spacing w:line="480" w:lineRule="auto"/>
        <w:rPr>
          <w:rFonts w:ascii="Times New Roman" w:hAnsi="Times New Roman" w:cs="Times New Roman"/>
          <w:sz w:val="24"/>
          <w:szCs w:val="24"/>
        </w:rPr>
      </w:pPr>
    </w:p>
    <w:p w:rsidR="00F95B70" w:rsidRPr="00167832" w:rsidRDefault="00F95B70" w:rsidP="00167832">
      <w:pPr>
        <w:spacing w:line="480" w:lineRule="auto"/>
        <w:jc w:val="center"/>
        <w:rPr>
          <w:rFonts w:ascii="Times New Roman" w:hAnsi="Times New Roman" w:cs="Times New Roman"/>
          <w:sz w:val="24"/>
          <w:szCs w:val="24"/>
        </w:rPr>
      </w:pPr>
      <w:r w:rsidRPr="00167832">
        <w:rPr>
          <w:rFonts w:ascii="Times New Roman" w:hAnsi="Times New Roman" w:cs="Times New Roman"/>
          <w:sz w:val="24"/>
          <w:szCs w:val="24"/>
        </w:rPr>
        <w:t>Perceptions of Governance on Higher Institutions</w:t>
      </w:r>
    </w:p>
    <w:p w:rsidR="00F95B70" w:rsidRPr="00167832" w:rsidRDefault="00F95B70" w:rsidP="00167832">
      <w:pPr>
        <w:spacing w:line="480" w:lineRule="auto"/>
        <w:jc w:val="center"/>
        <w:rPr>
          <w:rFonts w:ascii="Times New Roman" w:hAnsi="Times New Roman" w:cs="Times New Roman"/>
          <w:sz w:val="24"/>
          <w:szCs w:val="24"/>
        </w:rPr>
      </w:pPr>
      <w:r w:rsidRPr="00167832">
        <w:rPr>
          <w:rFonts w:ascii="Times New Roman" w:hAnsi="Times New Roman" w:cs="Times New Roman"/>
          <w:sz w:val="24"/>
          <w:szCs w:val="24"/>
        </w:rPr>
        <w:t>Name of Student</w:t>
      </w:r>
    </w:p>
    <w:p w:rsidR="00F95B70" w:rsidRPr="00167832" w:rsidRDefault="00F95B70" w:rsidP="00167832">
      <w:pPr>
        <w:spacing w:line="480" w:lineRule="auto"/>
        <w:jc w:val="center"/>
        <w:rPr>
          <w:rFonts w:ascii="Times New Roman" w:hAnsi="Times New Roman" w:cs="Times New Roman"/>
          <w:sz w:val="24"/>
          <w:szCs w:val="24"/>
        </w:rPr>
      </w:pPr>
      <w:r w:rsidRPr="00167832">
        <w:rPr>
          <w:rFonts w:ascii="Times New Roman" w:hAnsi="Times New Roman" w:cs="Times New Roman"/>
          <w:sz w:val="24"/>
          <w:szCs w:val="24"/>
        </w:rPr>
        <w:t>Name of Institution</w:t>
      </w:r>
    </w:p>
    <w:p w:rsidR="00F95B70" w:rsidRPr="00167832" w:rsidRDefault="00F95B70" w:rsidP="00167832">
      <w:pPr>
        <w:spacing w:line="480" w:lineRule="auto"/>
        <w:jc w:val="center"/>
        <w:rPr>
          <w:rFonts w:ascii="Times New Roman" w:hAnsi="Times New Roman" w:cs="Times New Roman"/>
          <w:sz w:val="24"/>
          <w:szCs w:val="24"/>
        </w:rPr>
      </w:pPr>
      <w:r w:rsidRPr="00167832">
        <w:rPr>
          <w:rFonts w:ascii="Times New Roman" w:hAnsi="Times New Roman" w:cs="Times New Roman"/>
          <w:sz w:val="24"/>
          <w:szCs w:val="24"/>
        </w:rPr>
        <w:t>Date</w:t>
      </w:r>
      <w:r w:rsidRPr="00167832">
        <w:rPr>
          <w:rFonts w:ascii="Times New Roman" w:hAnsi="Times New Roman" w:cs="Times New Roman"/>
          <w:sz w:val="24"/>
          <w:szCs w:val="24"/>
        </w:rPr>
        <w:br w:type="page"/>
      </w:r>
    </w:p>
    <w:p w:rsidR="00A53A22" w:rsidRPr="00167832" w:rsidRDefault="00A53A22"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lastRenderedPageBreak/>
        <w:t xml:space="preserve">It is of significance to not that higher learning institution each enjoying disparate notion of independence. This is shaped by the different form of governance that each institution employs. Other aspect that influence the independence include communication strategy, styles of management, the mission and vision, and the decision making styles the separate institution applies. Stanley Fish and Kathleen Manning are two scholars who hold different perspectives of how each aspect should be addressed to shape governance. The following is a presentation of their different perspectives. </w:t>
      </w:r>
    </w:p>
    <w:p w:rsidR="00000000" w:rsidRPr="00167832" w:rsidRDefault="00167832" w:rsidP="00167832">
      <w:pPr>
        <w:pStyle w:val="NoSpacing"/>
      </w:pPr>
      <w:r>
        <w:t>M</w:t>
      </w:r>
      <w:r w:rsidR="0092673F" w:rsidRPr="00167832">
        <w:t>ission and goals</w:t>
      </w:r>
    </w:p>
    <w:p w:rsidR="00225BF7" w:rsidRPr="00167832" w:rsidRDefault="00225BF7"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 xml:space="preserve">According to Stanley Fish, mission and goals of an institution are instrumental in defining the nature of both the project and the enterprise. This nature is definitive of the objectives if the institution specific to the campus, and also on a global scale. </w:t>
      </w:r>
      <w:r w:rsidR="00AE232B" w:rsidRPr="00167832">
        <w:rPr>
          <w:rFonts w:ascii="Times New Roman" w:hAnsi="Times New Roman" w:cs="Times New Roman"/>
          <w:sz w:val="24"/>
          <w:szCs w:val="24"/>
        </w:rPr>
        <w:t xml:space="preserve">This takes the focus away from the stakeholders’ opinions on their thoughts on governance. The identified purpose not only specifies the objectives, but also determines the structures and processes to be put in place towards the realization of the objectives. An additional result is the determination of the candidates who should be handed the mandate of achieving the described purpose. </w:t>
      </w:r>
    </w:p>
    <w:p w:rsidR="00AB2060" w:rsidRPr="00167832" w:rsidRDefault="00AB2060"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Manning, on the other hand, sees mission and vision statement serve to indicate the proposed achievements of the organization, and formulation of strategies of achieving the set objectives. The goals set out the objectives as individual tasks with a definite period to achieve. Given how influential the two are, the missions and goals should be set in accordance with the current status of the organization in question. Another critical evaluation in defining the goals and missions is the negative and positive influence of external environmental factors.</w:t>
      </w:r>
    </w:p>
    <w:p w:rsidR="0092673F" w:rsidRPr="00167832" w:rsidRDefault="0092673F" w:rsidP="00167832">
      <w:pPr>
        <w:pStyle w:val="NoSpacing"/>
      </w:pPr>
      <w:r w:rsidRPr="00167832">
        <w:t>Communication</w:t>
      </w:r>
    </w:p>
    <w:p w:rsidR="00CC376D" w:rsidRPr="00167832" w:rsidRDefault="00CC376D"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lastRenderedPageBreak/>
        <w:t xml:space="preserve">Stanley indicates the necessity for communication to be shared. He proposes sharing of communication is a better tactic at controlling the flow of the same, since withholding tends to lead to rumor, conspiracy theories, and ultimately real conspiracies. For administrators, sharing communication creates a channel where the faculty benefits from feeling as part of the team, and invested in what is going on. The administrators, on the other hand, gain by gaining their input without making promises of implementing them. Stanley indicates that open communication of all information at the moment it is received is critical in assuring the faculty, which allows them to leave the governance to the faculty. </w:t>
      </w:r>
    </w:p>
    <w:p w:rsidR="00AB2060" w:rsidRPr="00167832" w:rsidRDefault="00AB2060"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 xml:space="preserve">Manning advocates for sharing of communication, but proposes the sharing to be in a predefined structure. However, Manning is opposed to a rigid structure that emphasizes communication has to be first shared to the immediate superior. The structure should be flexible to the lower ranking employees to communicate with each other, with only specified information to be shared to the top administrators. </w:t>
      </w:r>
    </w:p>
    <w:p w:rsidR="0092673F" w:rsidRPr="00167832" w:rsidRDefault="0092673F" w:rsidP="00167832">
      <w:pPr>
        <w:pStyle w:val="NoSpacing"/>
      </w:pPr>
      <w:r w:rsidRPr="00167832">
        <w:t>Decision making</w:t>
      </w:r>
    </w:p>
    <w:p w:rsidR="00CC376D" w:rsidRPr="00167832" w:rsidRDefault="00B04821"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 xml:space="preserve">Decision making should adopt paradigms that demonstrate shared power, and a thankful note is essential at the end of sharing. Stanley takes not of the necessity of taking consideration of other members’ opinions and views. In this aspect, all forms of window dressing should be avoided. However, consideration of the matters pertaining to the decision should be left to the governing body. </w:t>
      </w:r>
      <w:r w:rsidR="00071D71" w:rsidRPr="00167832">
        <w:rPr>
          <w:rFonts w:ascii="Times New Roman" w:hAnsi="Times New Roman" w:cs="Times New Roman"/>
          <w:sz w:val="24"/>
          <w:szCs w:val="24"/>
        </w:rPr>
        <w:t xml:space="preserve">After the decision is made, implementation must be carried out by the faculty as per the recommendations of the administrators. </w:t>
      </w:r>
    </w:p>
    <w:p w:rsidR="00071D71" w:rsidRPr="00167832" w:rsidRDefault="00071D71"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 xml:space="preserve">Manning opposes the notion of involving all stakeholders in the decision making process. She holds that the process should be left solely to the administrators at the top, and also middle </w:t>
      </w:r>
      <w:r w:rsidRPr="00167832">
        <w:rPr>
          <w:rFonts w:ascii="Times New Roman" w:hAnsi="Times New Roman" w:cs="Times New Roman"/>
          <w:sz w:val="24"/>
          <w:szCs w:val="24"/>
        </w:rPr>
        <w:lastRenderedPageBreak/>
        <w:t xml:space="preserve">management. The role of subordinates in decision making is reporting on what they have experienced, and their opinions in terms of views of what should be addressed. </w:t>
      </w:r>
    </w:p>
    <w:p w:rsidR="00947D2E" w:rsidRPr="00167832" w:rsidRDefault="0092673F" w:rsidP="00167832">
      <w:pPr>
        <w:pStyle w:val="NoSpacing"/>
      </w:pPr>
      <w:r w:rsidRPr="00167832">
        <w:t>Role of management</w:t>
      </w:r>
    </w:p>
    <w:p w:rsidR="007E72DE" w:rsidRPr="00167832" w:rsidRDefault="007E72DE"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Management has a purpose of offering leadership and direction in addressing the perceptions of faculty and necessary functions vital to the community. Therefore, it is essential for the managers to realize the impossibility behind practically managing the faculty, resulting in the achievement of the designated target. Stanley perceives a manager as one who offers leadership directives on how to accomplish specified tasks. To this effect, the managers should demonstrate attention when hear</w:t>
      </w:r>
      <w:r w:rsidR="00AB2060" w:rsidRPr="00167832">
        <w:rPr>
          <w:rFonts w:ascii="Times New Roman" w:hAnsi="Times New Roman" w:cs="Times New Roman"/>
          <w:sz w:val="24"/>
          <w:szCs w:val="24"/>
        </w:rPr>
        <w:t>i</w:t>
      </w:r>
      <w:r w:rsidRPr="00167832">
        <w:rPr>
          <w:rFonts w:ascii="Times New Roman" w:hAnsi="Times New Roman" w:cs="Times New Roman"/>
          <w:sz w:val="24"/>
          <w:szCs w:val="24"/>
        </w:rPr>
        <w:t xml:space="preserve">ng </w:t>
      </w:r>
      <w:r w:rsidR="00AB2060" w:rsidRPr="00167832">
        <w:rPr>
          <w:rFonts w:ascii="Times New Roman" w:hAnsi="Times New Roman" w:cs="Times New Roman"/>
          <w:sz w:val="24"/>
          <w:szCs w:val="24"/>
        </w:rPr>
        <w:t xml:space="preserve">issues from the faculty, and devising strategies to cope with such issues. </w:t>
      </w:r>
    </w:p>
    <w:p w:rsidR="00615903" w:rsidRPr="00167832" w:rsidRDefault="00615903"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 xml:space="preserve">Kathleen Manning specifies that management has the sole prerogative of realizing the set goals and objective of the organizations. They can achieve this through specifying practical means and methods in which the faculty and lower management should adopt towards the same initiative. However, Manning perceives that issuing directives is not sufficient in these aspects. There is a necessity for the management to embed themselves in the teams that are proposing and enacting the methods and solutions </w:t>
      </w:r>
      <w:r w:rsidR="00A53A22" w:rsidRPr="00167832">
        <w:rPr>
          <w:rFonts w:ascii="Times New Roman" w:hAnsi="Times New Roman" w:cs="Times New Roman"/>
          <w:sz w:val="24"/>
          <w:szCs w:val="24"/>
        </w:rPr>
        <w:t xml:space="preserve">towards the desired destination. </w:t>
      </w:r>
    </w:p>
    <w:p w:rsidR="0092673F" w:rsidRPr="00167832" w:rsidRDefault="0092673F" w:rsidP="00167832">
      <w:pPr>
        <w:pStyle w:val="NoSpacing"/>
      </w:pPr>
      <w:r w:rsidRPr="00167832">
        <w:t>Shared governance</w:t>
      </w:r>
    </w:p>
    <w:p w:rsidR="00B04821" w:rsidRPr="00167832" w:rsidRDefault="00B04821"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 xml:space="preserve">Stanley Fish advocates for a system of shared governance, which is designed as a response to a particular and well-defined education need. However, Fish opposes use of shared governance as an end objective or a mantra to abide by in a democratic set-up. </w:t>
      </w:r>
      <w:r w:rsidR="00271016" w:rsidRPr="00167832">
        <w:rPr>
          <w:rFonts w:ascii="Times New Roman" w:hAnsi="Times New Roman" w:cs="Times New Roman"/>
          <w:sz w:val="24"/>
          <w:szCs w:val="24"/>
        </w:rPr>
        <w:t xml:space="preserve">The shared governance system, he suggest serves to divide responsibility between the faculty and the </w:t>
      </w:r>
      <w:r w:rsidR="00271016" w:rsidRPr="00167832">
        <w:rPr>
          <w:rFonts w:ascii="Times New Roman" w:hAnsi="Times New Roman" w:cs="Times New Roman"/>
          <w:sz w:val="24"/>
          <w:szCs w:val="24"/>
        </w:rPr>
        <w:lastRenderedPageBreak/>
        <w:t xml:space="preserve">administrators. With distributed authority, the faculty has a portion if the administrative </w:t>
      </w:r>
      <w:r w:rsidR="007E72DE" w:rsidRPr="00167832">
        <w:rPr>
          <w:rFonts w:ascii="Times New Roman" w:hAnsi="Times New Roman" w:cs="Times New Roman"/>
          <w:sz w:val="24"/>
          <w:szCs w:val="24"/>
        </w:rPr>
        <w:t>tasks</w:t>
      </w:r>
      <w:r w:rsidR="00271016" w:rsidRPr="00167832">
        <w:rPr>
          <w:rFonts w:ascii="Times New Roman" w:hAnsi="Times New Roman" w:cs="Times New Roman"/>
          <w:sz w:val="24"/>
          <w:szCs w:val="24"/>
        </w:rPr>
        <w:t xml:space="preserve"> and hence encompassing them without making them feel like the labor class. </w:t>
      </w:r>
    </w:p>
    <w:p w:rsidR="00E26CCE" w:rsidRPr="00167832" w:rsidRDefault="00A53A22" w:rsidP="00167832">
      <w:pPr>
        <w:spacing w:line="480" w:lineRule="auto"/>
        <w:ind w:firstLine="720"/>
        <w:rPr>
          <w:rFonts w:ascii="Times New Roman" w:hAnsi="Times New Roman" w:cs="Times New Roman"/>
          <w:sz w:val="24"/>
          <w:szCs w:val="24"/>
        </w:rPr>
      </w:pPr>
      <w:r w:rsidRPr="00167832">
        <w:rPr>
          <w:rFonts w:ascii="Times New Roman" w:hAnsi="Times New Roman" w:cs="Times New Roman"/>
          <w:sz w:val="24"/>
          <w:szCs w:val="24"/>
        </w:rPr>
        <w:t>Kathleen Manning stand on shared governance is not definite. This is because she perceives that the concept of governance is not universally applicable. This she justifies through the claim that the concept means something different to different organizations, which can each develop different models based on the same concept that is appropriate for their current setting. However, she insists on the necessity of involving a</w:t>
      </w:r>
      <w:r w:rsidR="00E26CCE" w:rsidRPr="00167832">
        <w:rPr>
          <w:rFonts w:ascii="Times New Roman" w:hAnsi="Times New Roman" w:cs="Times New Roman"/>
          <w:sz w:val="24"/>
          <w:szCs w:val="24"/>
        </w:rPr>
        <w:t>ll</w:t>
      </w:r>
      <w:r w:rsidRPr="00167832">
        <w:rPr>
          <w:rFonts w:ascii="Times New Roman" w:hAnsi="Times New Roman" w:cs="Times New Roman"/>
          <w:sz w:val="24"/>
          <w:szCs w:val="24"/>
        </w:rPr>
        <w:t xml:space="preserve"> stakeholders in designing the shared governance </w:t>
      </w:r>
      <w:r w:rsidR="00E26CCE" w:rsidRPr="00167832">
        <w:rPr>
          <w:rFonts w:ascii="Times New Roman" w:hAnsi="Times New Roman" w:cs="Times New Roman"/>
          <w:sz w:val="24"/>
          <w:szCs w:val="24"/>
        </w:rPr>
        <w:t>concept, which</w:t>
      </w:r>
      <w:r w:rsidRPr="00167832">
        <w:rPr>
          <w:rFonts w:ascii="Times New Roman" w:hAnsi="Times New Roman" w:cs="Times New Roman"/>
          <w:sz w:val="24"/>
          <w:szCs w:val="24"/>
        </w:rPr>
        <w:t xml:space="preserve"> is specific to their current organization. </w:t>
      </w:r>
    </w:p>
    <w:p w:rsidR="00E26CCE" w:rsidRPr="00167832" w:rsidRDefault="00E26CCE" w:rsidP="00167832">
      <w:pPr>
        <w:spacing w:line="480" w:lineRule="auto"/>
        <w:rPr>
          <w:rFonts w:ascii="Times New Roman" w:hAnsi="Times New Roman" w:cs="Times New Roman"/>
          <w:sz w:val="24"/>
          <w:szCs w:val="24"/>
        </w:rPr>
      </w:pPr>
      <w:r w:rsidRPr="00167832">
        <w:rPr>
          <w:rFonts w:ascii="Times New Roman" w:hAnsi="Times New Roman" w:cs="Times New Roman"/>
          <w:sz w:val="24"/>
          <w:szCs w:val="24"/>
        </w:rPr>
        <w:br w:type="page"/>
      </w:r>
    </w:p>
    <w:sdt>
      <w:sdtPr>
        <w:rPr>
          <w:rFonts w:ascii="Times New Roman" w:hAnsi="Times New Roman" w:cs="Times New Roman"/>
          <w:color w:val="auto"/>
          <w:sz w:val="24"/>
          <w:szCs w:val="24"/>
        </w:rPr>
        <w:id w:val="271896018"/>
        <w:docPartObj>
          <w:docPartGallery w:val="Bibliographies"/>
          <w:docPartUnique/>
        </w:docPartObj>
      </w:sdtPr>
      <w:sdtEndPr>
        <w:rPr>
          <w:rFonts w:eastAsiaTheme="minorEastAsia"/>
          <w:b w:val="0"/>
          <w:bCs w:val="0"/>
          <w:lang w:bidi="ar-SA"/>
        </w:rPr>
      </w:sdtEndPr>
      <w:sdtContent>
        <w:p w:rsidR="00E26CCE" w:rsidRPr="00167832" w:rsidRDefault="00E26CCE" w:rsidP="00167832">
          <w:pPr>
            <w:pStyle w:val="Heading1"/>
            <w:spacing w:line="480" w:lineRule="auto"/>
            <w:jc w:val="center"/>
            <w:rPr>
              <w:rFonts w:ascii="Times New Roman" w:hAnsi="Times New Roman" w:cs="Times New Roman"/>
              <w:color w:val="auto"/>
              <w:sz w:val="24"/>
              <w:szCs w:val="24"/>
            </w:rPr>
          </w:pPr>
          <w:r w:rsidRPr="00167832">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E26CCE" w:rsidRPr="00167832" w:rsidRDefault="00E26CCE" w:rsidP="00167832">
              <w:pPr>
                <w:pStyle w:val="Bibliography"/>
                <w:spacing w:line="480" w:lineRule="auto"/>
                <w:ind w:left="720" w:hanging="720"/>
                <w:rPr>
                  <w:rFonts w:ascii="Times New Roman" w:hAnsi="Times New Roman" w:cs="Times New Roman"/>
                  <w:noProof/>
                  <w:sz w:val="24"/>
                  <w:szCs w:val="24"/>
                </w:rPr>
              </w:pPr>
              <w:r w:rsidRPr="00167832">
                <w:rPr>
                  <w:rFonts w:ascii="Times New Roman" w:hAnsi="Times New Roman" w:cs="Times New Roman"/>
                  <w:sz w:val="24"/>
                  <w:szCs w:val="24"/>
                </w:rPr>
                <w:fldChar w:fldCharType="begin"/>
              </w:r>
              <w:r w:rsidRPr="00167832">
                <w:rPr>
                  <w:rFonts w:ascii="Times New Roman" w:hAnsi="Times New Roman" w:cs="Times New Roman"/>
                  <w:sz w:val="24"/>
                  <w:szCs w:val="24"/>
                </w:rPr>
                <w:instrText xml:space="preserve"> BIBLIOGRAPHY </w:instrText>
              </w:r>
              <w:r w:rsidRPr="00167832">
                <w:rPr>
                  <w:rFonts w:ascii="Times New Roman" w:hAnsi="Times New Roman" w:cs="Times New Roman"/>
                  <w:sz w:val="24"/>
                  <w:szCs w:val="24"/>
                </w:rPr>
                <w:fldChar w:fldCharType="separate"/>
              </w:r>
              <w:r w:rsidRPr="00167832">
                <w:rPr>
                  <w:rFonts w:ascii="Times New Roman" w:hAnsi="Times New Roman" w:cs="Times New Roman"/>
                  <w:noProof/>
                  <w:sz w:val="24"/>
                  <w:szCs w:val="24"/>
                </w:rPr>
                <w:t xml:space="preserve">Fish, S. (2007). Shared governance: Democracy is not an educational idea. </w:t>
              </w:r>
              <w:r w:rsidRPr="00167832">
                <w:rPr>
                  <w:rFonts w:ascii="Times New Roman" w:hAnsi="Times New Roman" w:cs="Times New Roman"/>
                  <w:i/>
                  <w:iCs/>
                  <w:noProof/>
                  <w:sz w:val="24"/>
                  <w:szCs w:val="24"/>
                </w:rPr>
                <w:t>Change: The magazine of higher learning</w:t>
              </w:r>
              <w:r w:rsidRPr="00167832">
                <w:rPr>
                  <w:rFonts w:ascii="Times New Roman" w:hAnsi="Times New Roman" w:cs="Times New Roman"/>
                  <w:noProof/>
                  <w:sz w:val="24"/>
                  <w:szCs w:val="24"/>
                </w:rPr>
                <w:t xml:space="preserve"> </w:t>
              </w:r>
              <w:r w:rsidRPr="00167832">
                <w:rPr>
                  <w:rFonts w:ascii="Times New Roman" w:hAnsi="Times New Roman" w:cs="Times New Roman"/>
                  <w:i/>
                  <w:iCs/>
                  <w:noProof/>
                  <w:sz w:val="24"/>
                  <w:szCs w:val="24"/>
                </w:rPr>
                <w:t>, 39</w:t>
              </w:r>
              <w:r w:rsidRPr="00167832">
                <w:rPr>
                  <w:rFonts w:ascii="Times New Roman" w:hAnsi="Times New Roman" w:cs="Times New Roman"/>
                  <w:noProof/>
                  <w:sz w:val="24"/>
                  <w:szCs w:val="24"/>
                </w:rPr>
                <w:t xml:space="preserve"> (2), 8-13.</w:t>
              </w:r>
            </w:p>
            <w:p w:rsidR="00E26CCE" w:rsidRPr="00167832" w:rsidRDefault="00E26CCE" w:rsidP="00167832">
              <w:pPr>
                <w:pStyle w:val="Bibliography"/>
                <w:spacing w:line="480" w:lineRule="auto"/>
                <w:ind w:left="720" w:hanging="720"/>
                <w:rPr>
                  <w:rFonts w:ascii="Times New Roman" w:hAnsi="Times New Roman" w:cs="Times New Roman"/>
                  <w:noProof/>
                  <w:sz w:val="24"/>
                  <w:szCs w:val="24"/>
                </w:rPr>
              </w:pPr>
              <w:r w:rsidRPr="00167832">
                <w:rPr>
                  <w:rFonts w:ascii="Times New Roman" w:hAnsi="Times New Roman" w:cs="Times New Roman"/>
                  <w:noProof/>
                  <w:sz w:val="24"/>
                  <w:szCs w:val="24"/>
                </w:rPr>
                <w:t xml:space="preserve">Manning, K. (2017). </w:t>
              </w:r>
              <w:r w:rsidRPr="00167832">
                <w:rPr>
                  <w:rFonts w:ascii="Times New Roman" w:hAnsi="Times New Roman" w:cs="Times New Roman"/>
                  <w:i/>
                  <w:iCs/>
                  <w:noProof/>
                  <w:sz w:val="24"/>
                  <w:szCs w:val="24"/>
                </w:rPr>
                <w:t>Organizational Theory in Higher Education.</w:t>
              </w:r>
              <w:r w:rsidRPr="00167832">
                <w:rPr>
                  <w:rFonts w:ascii="Times New Roman" w:hAnsi="Times New Roman" w:cs="Times New Roman"/>
                  <w:noProof/>
                  <w:sz w:val="24"/>
                  <w:szCs w:val="24"/>
                </w:rPr>
                <w:t xml:space="preserve"> Routledge.</w:t>
              </w:r>
            </w:p>
            <w:p w:rsidR="00E26CCE" w:rsidRPr="00167832" w:rsidRDefault="00E26CCE" w:rsidP="00167832">
              <w:pPr>
                <w:spacing w:line="480" w:lineRule="auto"/>
                <w:ind w:left="720" w:hanging="720"/>
                <w:rPr>
                  <w:rFonts w:ascii="Times New Roman" w:hAnsi="Times New Roman" w:cs="Times New Roman"/>
                  <w:sz w:val="24"/>
                  <w:szCs w:val="24"/>
                </w:rPr>
              </w:pPr>
              <w:r w:rsidRPr="00167832">
                <w:rPr>
                  <w:rFonts w:ascii="Times New Roman" w:hAnsi="Times New Roman" w:cs="Times New Roman"/>
                  <w:sz w:val="24"/>
                  <w:szCs w:val="24"/>
                </w:rPr>
                <w:fldChar w:fldCharType="end"/>
              </w:r>
            </w:p>
          </w:sdtContent>
        </w:sdt>
      </w:sdtContent>
    </w:sdt>
    <w:p w:rsidR="00A53A22" w:rsidRPr="00167832" w:rsidRDefault="00A53A22" w:rsidP="00167832">
      <w:pPr>
        <w:spacing w:line="480" w:lineRule="auto"/>
        <w:ind w:firstLine="720"/>
        <w:rPr>
          <w:rFonts w:ascii="Times New Roman" w:hAnsi="Times New Roman" w:cs="Times New Roman"/>
          <w:sz w:val="24"/>
          <w:szCs w:val="24"/>
        </w:rPr>
      </w:pPr>
    </w:p>
    <w:sectPr w:rsidR="00A53A22" w:rsidRPr="00167832" w:rsidSect="00F95B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D14" w:rsidRDefault="00F66D14" w:rsidP="00F95B70">
      <w:pPr>
        <w:spacing w:after="0" w:line="240" w:lineRule="auto"/>
      </w:pPr>
      <w:r>
        <w:separator/>
      </w:r>
    </w:p>
  </w:endnote>
  <w:endnote w:type="continuationSeparator" w:id="1">
    <w:p w:rsidR="00F66D14" w:rsidRDefault="00F66D14" w:rsidP="00F95B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D14" w:rsidRDefault="00F66D14" w:rsidP="00F95B70">
      <w:pPr>
        <w:spacing w:after="0" w:line="240" w:lineRule="auto"/>
      </w:pPr>
      <w:r>
        <w:separator/>
      </w:r>
    </w:p>
  </w:footnote>
  <w:footnote w:type="continuationSeparator" w:id="1">
    <w:p w:rsidR="00F66D14" w:rsidRDefault="00F66D14" w:rsidP="00F95B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70" w:rsidRPr="00F95B70" w:rsidRDefault="00F95B70">
    <w:pPr>
      <w:pStyle w:val="Header"/>
      <w:jc w:val="right"/>
      <w:rPr>
        <w:rFonts w:ascii="Times New Roman" w:hAnsi="Times New Roman" w:cs="Times New Roman"/>
        <w:sz w:val="24"/>
      </w:rPr>
    </w:pPr>
    <w:r w:rsidRPr="00F95B70">
      <w:rPr>
        <w:rFonts w:ascii="Times New Roman" w:hAnsi="Times New Roman" w:cs="Times New Roman"/>
        <w:sz w:val="24"/>
      </w:rPr>
      <w:t>PERCEPTIONS OF GOVERNANCE</w:t>
    </w:r>
    <w:r w:rsidRPr="00F95B70">
      <w:rPr>
        <w:rFonts w:ascii="Times New Roman" w:hAnsi="Times New Roman" w:cs="Times New Roman"/>
        <w:sz w:val="24"/>
      </w:rPr>
      <w:tab/>
    </w:r>
    <w:r w:rsidRPr="00F95B70">
      <w:rPr>
        <w:rFonts w:ascii="Times New Roman" w:hAnsi="Times New Roman" w:cs="Times New Roman"/>
        <w:sz w:val="24"/>
      </w:rPr>
      <w:tab/>
    </w:r>
    <w:sdt>
      <w:sdtPr>
        <w:rPr>
          <w:rFonts w:ascii="Times New Roman" w:hAnsi="Times New Roman" w:cs="Times New Roman"/>
          <w:sz w:val="24"/>
        </w:rPr>
        <w:id w:val="271896023"/>
        <w:docPartObj>
          <w:docPartGallery w:val="Page Numbers (Top of Page)"/>
          <w:docPartUnique/>
        </w:docPartObj>
      </w:sdtPr>
      <w:sdtContent>
        <w:r w:rsidRPr="00F95B70">
          <w:rPr>
            <w:rFonts w:ascii="Times New Roman" w:hAnsi="Times New Roman" w:cs="Times New Roman"/>
            <w:sz w:val="24"/>
          </w:rPr>
          <w:fldChar w:fldCharType="begin"/>
        </w:r>
        <w:r w:rsidRPr="00F95B70">
          <w:rPr>
            <w:rFonts w:ascii="Times New Roman" w:hAnsi="Times New Roman" w:cs="Times New Roman"/>
            <w:sz w:val="24"/>
          </w:rPr>
          <w:instrText xml:space="preserve"> PAGE   \* MERGEFORMAT </w:instrText>
        </w:r>
        <w:r w:rsidRPr="00F95B70">
          <w:rPr>
            <w:rFonts w:ascii="Times New Roman" w:hAnsi="Times New Roman" w:cs="Times New Roman"/>
            <w:sz w:val="24"/>
          </w:rPr>
          <w:fldChar w:fldCharType="separate"/>
        </w:r>
        <w:r w:rsidR="00167832">
          <w:rPr>
            <w:rFonts w:ascii="Times New Roman" w:hAnsi="Times New Roman" w:cs="Times New Roman"/>
            <w:noProof/>
            <w:sz w:val="24"/>
          </w:rPr>
          <w:t>5</w:t>
        </w:r>
        <w:r w:rsidRPr="00F95B70">
          <w:rPr>
            <w:rFonts w:ascii="Times New Roman" w:hAnsi="Times New Roman" w:cs="Times New Roman"/>
            <w:sz w:val="24"/>
          </w:rPr>
          <w:fldChar w:fldCharType="end"/>
        </w:r>
      </w:sdtContent>
    </w:sdt>
  </w:p>
  <w:p w:rsidR="00F95B70" w:rsidRPr="00F95B70" w:rsidRDefault="00F95B7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70" w:rsidRPr="00F95B70" w:rsidRDefault="00F95B70">
    <w:pPr>
      <w:pStyle w:val="Header"/>
      <w:jc w:val="right"/>
      <w:rPr>
        <w:rFonts w:ascii="Times New Roman" w:hAnsi="Times New Roman" w:cs="Times New Roman"/>
        <w:sz w:val="24"/>
      </w:rPr>
    </w:pPr>
    <w:r w:rsidRPr="00F95B70">
      <w:rPr>
        <w:rFonts w:ascii="Times New Roman" w:hAnsi="Times New Roman" w:cs="Times New Roman"/>
        <w:sz w:val="24"/>
      </w:rPr>
      <w:t xml:space="preserve">Running Head: PERCEPTIONS OF GOVERNANCE </w:t>
    </w:r>
    <w:r w:rsidRPr="00F95B70">
      <w:rPr>
        <w:rFonts w:ascii="Times New Roman" w:hAnsi="Times New Roman" w:cs="Times New Roman"/>
        <w:sz w:val="24"/>
      </w:rPr>
      <w:tab/>
    </w:r>
    <w:r w:rsidRPr="00F95B70">
      <w:rPr>
        <w:rFonts w:ascii="Times New Roman" w:hAnsi="Times New Roman" w:cs="Times New Roman"/>
        <w:sz w:val="24"/>
      </w:rPr>
      <w:tab/>
    </w:r>
    <w:sdt>
      <w:sdtPr>
        <w:rPr>
          <w:rFonts w:ascii="Times New Roman" w:hAnsi="Times New Roman" w:cs="Times New Roman"/>
          <w:sz w:val="24"/>
        </w:rPr>
        <w:id w:val="271896054"/>
        <w:docPartObj>
          <w:docPartGallery w:val="Page Numbers (Top of Page)"/>
          <w:docPartUnique/>
        </w:docPartObj>
      </w:sdtPr>
      <w:sdtContent>
        <w:r w:rsidRPr="00F95B70">
          <w:rPr>
            <w:rFonts w:ascii="Times New Roman" w:hAnsi="Times New Roman" w:cs="Times New Roman"/>
            <w:sz w:val="24"/>
          </w:rPr>
          <w:fldChar w:fldCharType="begin"/>
        </w:r>
        <w:r w:rsidRPr="00F95B70">
          <w:rPr>
            <w:rFonts w:ascii="Times New Roman" w:hAnsi="Times New Roman" w:cs="Times New Roman"/>
            <w:sz w:val="24"/>
          </w:rPr>
          <w:instrText xml:space="preserve"> PAGE   \* MERGEFORMAT </w:instrText>
        </w:r>
        <w:r w:rsidRPr="00F95B70">
          <w:rPr>
            <w:rFonts w:ascii="Times New Roman" w:hAnsi="Times New Roman" w:cs="Times New Roman"/>
            <w:sz w:val="24"/>
          </w:rPr>
          <w:fldChar w:fldCharType="separate"/>
        </w:r>
        <w:r w:rsidR="00167832">
          <w:rPr>
            <w:rFonts w:ascii="Times New Roman" w:hAnsi="Times New Roman" w:cs="Times New Roman"/>
            <w:noProof/>
            <w:sz w:val="24"/>
          </w:rPr>
          <w:t>1</w:t>
        </w:r>
        <w:r w:rsidRPr="00F95B70">
          <w:rPr>
            <w:rFonts w:ascii="Times New Roman" w:hAnsi="Times New Roman" w:cs="Times New Roman"/>
            <w:sz w:val="24"/>
          </w:rPr>
          <w:fldChar w:fldCharType="end"/>
        </w:r>
      </w:sdtContent>
    </w:sdt>
  </w:p>
  <w:p w:rsidR="00F95B70" w:rsidRPr="00F95B70" w:rsidRDefault="00F95B7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2673F"/>
    <w:rsid w:val="00071D71"/>
    <w:rsid w:val="00167832"/>
    <w:rsid w:val="00225BF7"/>
    <w:rsid w:val="00271016"/>
    <w:rsid w:val="00615903"/>
    <w:rsid w:val="007E72DE"/>
    <w:rsid w:val="0092673F"/>
    <w:rsid w:val="00947D2E"/>
    <w:rsid w:val="00A53A22"/>
    <w:rsid w:val="00AB2060"/>
    <w:rsid w:val="00AE232B"/>
    <w:rsid w:val="00B04821"/>
    <w:rsid w:val="00CC376D"/>
    <w:rsid w:val="00E26CCE"/>
    <w:rsid w:val="00F66D14"/>
    <w:rsid w:val="00F95B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6CC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6C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CCE"/>
    <w:rPr>
      <w:rFonts w:ascii="Tahoma" w:hAnsi="Tahoma" w:cs="Tahoma"/>
      <w:sz w:val="16"/>
      <w:szCs w:val="16"/>
    </w:rPr>
  </w:style>
  <w:style w:type="character" w:customStyle="1" w:styleId="Heading1Char">
    <w:name w:val="Heading 1 Char"/>
    <w:basedOn w:val="DefaultParagraphFont"/>
    <w:link w:val="Heading1"/>
    <w:uiPriority w:val="9"/>
    <w:rsid w:val="00E26CC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26CCE"/>
  </w:style>
  <w:style w:type="paragraph" w:styleId="Header">
    <w:name w:val="header"/>
    <w:basedOn w:val="Normal"/>
    <w:link w:val="HeaderChar"/>
    <w:uiPriority w:val="99"/>
    <w:unhideWhenUsed/>
    <w:rsid w:val="00F95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B70"/>
  </w:style>
  <w:style w:type="paragraph" w:styleId="Footer">
    <w:name w:val="footer"/>
    <w:basedOn w:val="Normal"/>
    <w:link w:val="FooterChar"/>
    <w:uiPriority w:val="99"/>
    <w:semiHidden/>
    <w:unhideWhenUsed/>
    <w:rsid w:val="00F95B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5B70"/>
  </w:style>
  <w:style w:type="paragraph" w:styleId="NoSpacing">
    <w:name w:val="No Spacing"/>
    <w:uiPriority w:val="1"/>
    <w:qFormat/>
    <w:rsid w:val="00167832"/>
    <w:pPr>
      <w:spacing w:after="0" w:line="480" w:lineRule="auto"/>
    </w:pPr>
    <w:rPr>
      <w:rFonts w:ascii="Times New Roman" w:hAnsi="Times New Roman"/>
      <w:b/>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Fis07</b:Tag>
    <b:SourceType>JournalArticle</b:SourceType>
    <b:Guid>{610B7E10-8638-4921-831D-D28B7F8307B2}</b:Guid>
    <b:LCID>0</b:LCID>
    <b:Author>
      <b:Author>
        <b:NameList>
          <b:Person>
            <b:Last>Fish</b:Last>
            <b:First>Stanley</b:First>
          </b:Person>
        </b:NameList>
      </b:Author>
    </b:Author>
    <b:Title>Shared governance: Democracy is not an educational idea.</b:Title>
    <b:Year>2007</b:Year>
    <b:JournalName>Change: The magazine of higher learning</b:JournalName>
    <b:Pages>8-13</b:Pages>
    <b:Volume>39</b:Volume>
    <b:Issue>2</b:Issue>
    <b:RefOrder>1</b:RefOrder>
  </b:Source>
  <b:Source>
    <b:Tag>Man17</b:Tag>
    <b:SourceType>Book</b:SourceType>
    <b:Guid>{31E13E8F-46BA-4488-80F2-D964E0DBD681}</b:Guid>
    <b:LCID>0</b:LCID>
    <b:Author>
      <b:Author>
        <b:NameList>
          <b:Person>
            <b:Last>Manning</b:Last>
            <b:First>Kathleen</b:First>
          </b:Person>
        </b:NameList>
      </b:Author>
    </b:Author>
    <b:Title>Organizational Theory in Higher Education</b:Title>
    <b:Year>2017</b:Year>
    <b:Publisher>Routledge</b:Publisher>
    <b:RefOrder>2</b:RefOrder>
  </b:Source>
</b:Sources>
</file>

<file path=customXml/itemProps1.xml><?xml version="1.0" encoding="utf-8"?>
<ds:datastoreItem xmlns:ds="http://schemas.openxmlformats.org/officeDocument/2006/customXml" ds:itemID="{5D0C5DC6-C1C6-40FC-9D45-5FB42EA08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6</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2019-07-15T07:04:00Z</dcterms:created>
  <dcterms:modified xsi:type="dcterms:W3CDTF">2019-07-15T13:44:00Z</dcterms:modified>
</cp:coreProperties>
</file>